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64FF81" w14:textId="77E90790" w:rsidR="004F2822" w:rsidRDefault="004F2822" w:rsidP="003B0816">
      <w:pPr>
        <w:pStyle w:val="Heading1"/>
        <w:rPr>
          <w:rFonts w:eastAsiaTheme="minorEastAsia"/>
          <w:lang w:val="en-US"/>
        </w:rPr>
      </w:pPr>
      <w:r>
        <w:rPr>
          <w:noProof/>
        </w:rPr>
        <w:drawing>
          <wp:inline distT="0" distB="0" distL="0" distR="0" wp14:anchorId="7E77C910" wp14:editId="546960D3">
            <wp:extent cx="2448272" cy="792088"/>
            <wp:effectExtent l="0" t="0" r="0" b="8255"/>
            <wp:docPr id="4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272" cy="792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         </w:t>
      </w:r>
      <w:r>
        <w:rPr>
          <w:noProof/>
        </w:rPr>
        <w:drawing>
          <wp:inline distT="0" distB="0" distL="0" distR="0" wp14:anchorId="69A75484" wp14:editId="536229C3">
            <wp:extent cx="419735" cy="342835"/>
            <wp:effectExtent l="0" t="0" r="0" b="635"/>
            <wp:docPr id="3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735" cy="34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</w:t>
      </w:r>
    </w:p>
    <w:p w14:paraId="44F8C2AB" w14:textId="325B2916" w:rsidR="00EE3302" w:rsidRPr="00EE3302" w:rsidRDefault="003B0816" w:rsidP="004F2822">
      <w:pPr>
        <w:pStyle w:val="Heading1"/>
        <w:rPr>
          <w:lang w:val="en-GB"/>
        </w:rPr>
      </w:pPr>
      <w:r>
        <w:rPr>
          <w:rFonts w:eastAsiaTheme="minorEastAsia"/>
          <w:lang w:val="en-US"/>
        </w:rPr>
        <w:t>R</w:t>
      </w:r>
      <w:r w:rsidR="00EE3302" w:rsidRPr="003B0816">
        <w:rPr>
          <w:rFonts w:eastAsiaTheme="minorEastAsia"/>
          <w:lang w:val="en-US"/>
        </w:rPr>
        <w:t>eport of the results of Intellectual Output IO 1 (Status reports)</w:t>
      </w:r>
    </w:p>
    <w:p w14:paraId="26C15268" w14:textId="41E21040" w:rsidR="00EE3302" w:rsidRDefault="00EE3302" w:rsidP="3A61BC69">
      <w:p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 w:rsidRPr="000815D8">
        <w:rPr>
          <w:rStyle w:val="Heading2Char"/>
          <w:lang w:val="en-US"/>
        </w:rPr>
        <w:t>Result 2</w:t>
      </w:r>
      <w:r w:rsidR="005A7509">
        <w:rPr>
          <w:rStyle w:val="Heading2Char"/>
          <w:lang w:val="en-US"/>
        </w:rPr>
        <w:t xml:space="preserve"> and 3</w:t>
      </w:r>
      <w:r w:rsidRPr="000815D8">
        <w:rPr>
          <w:rStyle w:val="Heading2Char"/>
          <w:lang w:val="en-US"/>
        </w:rPr>
        <w:t xml:space="preserve">: Development quality criteria, </w:t>
      </w:r>
      <w:proofErr w:type="gramStart"/>
      <w:r w:rsidRPr="000815D8">
        <w:rPr>
          <w:rStyle w:val="Heading2Char"/>
          <w:lang w:val="en-US"/>
        </w:rPr>
        <w:t>assessment</w:t>
      </w:r>
      <w:proofErr w:type="gramEnd"/>
      <w:r w:rsidRPr="000815D8">
        <w:rPr>
          <w:rStyle w:val="Heading2Char"/>
          <w:lang w:val="en-US"/>
        </w:rPr>
        <w:t xml:space="preserve"> and feedback principles for e-supported T&amp;L education</w:t>
      </w:r>
      <w:r w:rsidR="0061630E">
        <w:rPr>
          <w:rFonts w:eastAsiaTheme="minorEastAsia" w:cs="Arial"/>
          <w:color w:val="000000" w:themeColor="text1"/>
          <w:kern w:val="24"/>
          <w:lang w:val="en-US"/>
        </w:rPr>
        <w:br/>
      </w:r>
      <w:proofErr w:type="spellStart"/>
      <w:r w:rsidRPr="3A61BC69">
        <w:rPr>
          <w:rFonts w:eastAsiaTheme="minorEastAsia" w:cs="Arial"/>
          <w:color w:val="000000" w:themeColor="text1"/>
          <w:kern w:val="24"/>
          <w:lang w:val="en-US"/>
        </w:rPr>
        <w:t>Jaana</w:t>
      </w:r>
      <w:proofErr w:type="spellEnd"/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proofErr w:type="spellStart"/>
      <w:r w:rsidRPr="3A61BC69">
        <w:rPr>
          <w:rFonts w:eastAsiaTheme="minorEastAsia" w:cs="Arial"/>
          <w:color w:val="000000" w:themeColor="text1"/>
          <w:kern w:val="24"/>
          <w:lang w:val="en-US"/>
        </w:rPr>
        <w:t>Kullaslahti</w:t>
      </w:r>
      <w:proofErr w:type="spellEnd"/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and </w:t>
      </w:r>
      <w:proofErr w:type="spellStart"/>
      <w:r w:rsidRPr="3A61BC69">
        <w:rPr>
          <w:rFonts w:eastAsiaTheme="minorEastAsia" w:cs="Arial"/>
          <w:color w:val="000000" w:themeColor="text1"/>
          <w:kern w:val="24"/>
          <w:lang w:val="en-US"/>
        </w:rPr>
        <w:t>Tarjaleena</w:t>
      </w:r>
      <w:proofErr w:type="spellEnd"/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proofErr w:type="spellStart"/>
      <w:r w:rsidRPr="3A61BC69">
        <w:rPr>
          <w:rFonts w:eastAsiaTheme="minorEastAsia" w:cs="Arial"/>
          <w:color w:val="000000" w:themeColor="text1"/>
          <w:kern w:val="24"/>
          <w:lang w:val="en-US"/>
        </w:rPr>
        <w:t>Tuukkanen</w:t>
      </w:r>
      <w:proofErr w:type="spellEnd"/>
    </w:p>
    <w:p w14:paraId="7F464FA7" w14:textId="3D785A83" w:rsidR="00C53DDD" w:rsidRDefault="004E3FF4" w:rsidP="3A61BC69">
      <w:p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Principles of Quality criteria for online implementations </w:t>
      </w:r>
      <w:r w:rsidR="00037F87">
        <w:rPr>
          <w:rFonts w:eastAsiaTheme="minorEastAsia" w:cs="Arial"/>
          <w:color w:val="000000" w:themeColor="text1"/>
          <w:kern w:val="24"/>
          <w:lang w:val="en-US"/>
        </w:rPr>
        <w:t>–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the</w:t>
      </w:r>
      <w:r w:rsidR="00037F87"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>most important criteria, developed together with all partners. There are six themes and ten criteria: assignments (two criteria), contents and materials (one criterion), tools (two criteria), guidance and feedback (three criteria), evaluation (one criterion), usability</w:t>
      </w:r>
      <w:r w:rsidR="00BA1F24" w:rsidRPr="3A61BC69">
        <w:rPr>
          <w:rFonts w:eastAsiaTheme="minorEastAsia" w:cs="Arial"/>
          <w:color w:val="000000" w:themeColor="text1"/>
          <w:kern w:val="24"/>
          <w:lang w:val="en-US"/>
        </w:rPr>
        <w:t>,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and visuals (one criterion).</w:t>
      </w:r>
      <w:r w:rsidR="00C53DDD"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These criteria are based on and modified from the quality criteria of the Finnish </w:t>
      </w:r>
      <w:proofErr w:type="spellStart"/>
      <w:r w:rsidR="00C53DDD" w:rsidRPr="3A61BC69">
        <w:rPr>
          <w:rFonts w:eastAsiaTheme="minorEastAsia" w:cs="Arial"/>
          <w:color w:val="000000" w:themeColor="text1"/>
          <w:kern w:val="24"/>
          <w:lang w:val="en-US"/>
        </w:rPr>
        <w:t>eAMK</w:t>
      </w:r>
      <w:proofErr w:type="spellEnd"/>
      <w:r w:rsidR="00C53DDD"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project.</w:t>
      </w:r>
      <w:r w:rsidRPr="003F1BFC">
        <w:rPr>
          <w:lang w:val="en-US"/>
        </w:rPr>
        <w:br/>
      </w:r>
    </w:p>
    <w:p w14:paraId="0BB39236" w14:textId="77777777" w:rsidR="00C53DDD" w:rsidRPr="00C53DDD" w:rsidRDefault="00C53DDD" w:rsidP="00C53DDD">
      <w:pPr>
        <w:pStyle w:val="ListParagraph"/>
        <w:numPr>
          <w:ilvl w:val="0"/>
          <w:numId w:val="13"/>
        </w:numPr>
        <w:spacing w:after="100" w:afterAutospacing="1"/>
        <w:rPr>
          <w:rFonts w:asciiTheme="minorHAnsi" w:eastAsiaTheme="minorEastAsia" w:hAnsiTheme="minorHAnsi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asciiTheme="minorHAnsi" w:eastAsiaTheme="minorEastAsia" w:hAnsiTheme="minorHAnsi" w:cstheme="minorHAnsi"/>
          <w:color w:val="000000" w:themeColor="text1"/>
          <w:kern w:val="24"/>
          <w:sz w:val="20"/>
          <w:szCs w:val="20"/>
          <w:lang w:val="en-US"/>
        </w:rPr>
        <w:t>Assignments (2) What kind of assignments?</w:t>
      </w:r>
    </w:p>
    <w:p w14:paraId="02FCE31C" w14:textId="6966E496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>The purpose, the objective, the procedure, the evaluation criteria</w:t>
      </w:r>
      <w:r w:rsidR="00E45C01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>,</w:t>
      </w:r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 xml:space="preserve"> and the schedule of the assignments are clearly described on the online platform.</w:t>
      </w:r>
    </w:p>
    <w:p w14:paraId="3AA15335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>The assignments guide the students towards achieving the learning objectives of the course.</w:t>
      </w:r>
    </w:p>
    <w:p w14:paraId="5A01EE46" w14:textId="77777777" w:rsidR="00C53DDD" w:rsidRPr="00C53DDD" w:rsidRDefault="00C53DDD" w:rsidP="00C53DDD">
      <w:pPr>
        <w:pStyle w:val="ListParagraph"/>
        <w:numPr>
          <w:ilvl w:val="0"/>
          <w:numId w:val="13"/>
        </w:numPr>
        <w:spacing w:after="100" w:afterAutospacing="1"/>
        <w:rPr>
          <w:rFonts w:asciiTheme="minorHAnsi" w:eastAsiaTheme="minorEastAsia" w:hAnsiTheme="minorHAnsi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asciiTheme="minorHAnsi" w:eastAsiaTheme="minorEastAsia" w:hAnsiTheme="minorHAnsi" w:cstheme="minorHAnsi"/>
          <w:color w:val="000000" w:themeColor="text1"/>
          <w:kern w:val="24"/>
          <w:sz w:val="20"/>
          <w:szCs w:val="20"/>
          <w:lang w:val="en-US"/>
        </w:rPr>
        <w:t>Contents and materials (1) What kind of materials?</w:t>
      </w:r>
    </w:p>
    <w:p w14:paraId="171ED1FE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 xml:space="preserve">The online implementation </w:t>
      </w:r>
      <w:proofErr w:type="spellStart"/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>utilises</w:t>
      </w:r>
      <w:proofErr w:type="spellEnd"/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 xml:space="preserve"> materials to which the institution has an access right. References and copyright information have been marked appropriately.</w:t>
      </w:r>
    </w:p>
    <w:p w14:paraId="146AB998" w14:textId="4D7A3F16" w:rsidR="00C53DDD" w:rsidRPr="00C53DDD" w:rsidRDefault="00C53DDD" w:rsidP="00C53DDD">
      <w:pPr>
        <w:pStyle w:val="ListParagraph"/>
        <w:numPr>
          <w:ilvl w:val="0"/>
          <w:numId w:val="13"/>
        </w:numPr>
        <w:spacing w:after="100" w:afterAutospacing="1"/>
        <w:rPr>
          <w:rFonts w:asciiTheme="minorHAnsi" w:eastAsiaTheme="minorEastAsia" w:hAnsiTheme="minorHAnsi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asciiTheme="minorHAnsi" w:eastAsiaTheme="minorEastAsia" w:hAnsiTheme="minorHAnsi" w:cstheme="minorHAnsi"/>
          <w:color w:val="000000" w:themeColor="text1"/>
          <w:kern w:val="24"/>
          <w:sz w:val="20"/>
          <w:szCs w:val="20"/>
          <w:lang w:val="en-US"/>
        </w:rPr>
        <w:t>Tools (2) What kind of tools?</w:t>
      </w:r>
    </w:p>
    <w:p w14:paraId="5D5EB829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>Instructions for using the online platform and any applications and tools used, as well as creating a user account, are easy to understand and located on or linked to the online platform.</w:t>
      </w:r>
    </w:p>
    <w:p w14:paraId="15CBE2BA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</w:pPr>
      <w:r w:rsidRPr="00C53DDD">
        <w:rPr>
          <w:rFonts w:eastAsiaTheme="minorEastAsia" w:cstheme="minorHAnsi"/>
          <w:color w:val="000000" w:themeColor="text1"/>
          <w:kern w:val="24"/>
          <w:sz w:val="20"/>
          <w:szCs w:val="20"/>
          <w:lang w:val="en-US"/>
        </w:rPr>
        <w:t>The course description lists the basic equipment required for completing the course, as well as other necessary applications.</w:t>
      </w:r>
    </w:p>
    <w:p w14:paraId="04FADD91" w14:textId="77777777" w:rsidR="00C53DDD" w:rsidRPr="00C53DDD" w:rsidRDefault="00C53DDD" w:rsidP="00C53DDD">
      <w:pPr>
        <w:numPr>
          <w:ilvl w:val="0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GB"/>
        </w:rPr>
        <w:t>Guidance and feedback (3) How to give/get feedback?</w:t>
      </w:r>
    </w:p>
    <w:p w14:paraId="2712AE29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US"/>
        </w:rPr>
        <w:t xml:space="preserve">The implementation is designed in a manner that enables the teacher, other </w:t>
      </w:r>
      <w:proofErr w:type="gramStart"/>
      <w:r w:rsidRPr="00C53DDD">
        <w:rPr>
          <w:rFonts w:cstheme="minorHAnsi"/>
          <w:color w:val="000000" w:themeColor="text1"/>
          <w:kern w:val="24"/>
          <w:sz w:val="20"/>
          <w:szCs w:val="20"/>
          <w:lang w:val="en-US"/>
        </w:rPr>
        <w:t>students</w:t>
      </w:r>
      <w:proofErr w:type="gramEnd"/>
      <w:r w:rsidRPr="00C53DDD">
        <w:rPr>
          <w:rFonts w:cstheme="minorHAnsi"/>
          <w:color w:val="000000" w:themeColor="text1"/>
          <w:kern w:val="24"/>
          <w:sz w:val="20"/>
          <w:szCs w:val="20"/>
          <w:lang w:val="en-US"/>
        </w:rPr>
        <w:t xml:space="preserve"> and stakeholders to provide guidance and feedback during the course.</w:t>
      </w:r>
    </w:p>
    <w:p w14:paraId="12B0345D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US"/>
        </w:rPr>
        <w:t>The responsible persons, channels and schedules related to student guidance are described on the online platform.</w:t>
      </w:r>
    </w:p>
    <w:p w14:paraId="0CD5829E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US"/>
        </w:rPr>
        <w:t>The online platform has a channel for the students’ feedback and questions.</w:t>
      </w:r>
    </w:p>
    <w:p w14:paraId="7600AF07" w14:textId="77777777" w:rsidR="00C53DDD" w:rsidRPr="00C53DDD" w:rsidRDefault="00C53DDD" w:rsidP="00C53DDD">
      <w:pPr>
        <w:numPr>
          <w:ilvl w:val="0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GB"/>
        </w:rPr>
        <w:t>Evaluation (1) How to evaluate?</w:t>
      </w:r>
    </w:p>
    <w:p w14:paraId="13479243" w14:textId="77777777" w:rsidR="00C53DDD" w:rsidRPr="00C53DDD" w:rsidRDefault="00C53DDD" w:rsidP="00C53DDD">
      <w:pPr>
        <w:numPr>
          <w:ilvl w:val="1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US"/>
        </w:rPr>
        <w:t>The evaluation criteria are based on the learning outcomes of the course. The criteria and evaluation methods are detailed in the course description.</w:t>
      </w:r>
    </w:p>
    <w:p w14:paraId="3BC2CB6A" w14:textId="77777777" w:rsidR="00C53DDD" w:rsidRPr="00C53DDD" w:rsidRDefault="00C53DDD" w:rsidP="00C53DDD">
      <w:pPr>
        <w:numPr>
          <w:ilvl w:val="0"/>
          <w:numId w:val="13"/>
        </w:numPr>
        <w:spacing w:after="100" w:afterAutospacing="1"/>
        <w:rPr>
          <w:rFonts w:eastAsiaTheme="minorEastAsia" w:cstheme="minorHAnsi"/>
          <w:color w:val="000000" w:themeColor="text1"/>
          <w:kern w:val="24"/>
          <w:sz w:val="20"/>
          <w:szCs w:val="20"/>
          <w:lang w:val="en-GB"/>
        </w:rPr>
      </w:pPr>
      <w:r w:rsidRPr="00C53DDD">
        <w:rPr>
          <w:rFonts w:cstheme="minorHAnsi"/>
          <w:color w:val="000000" w:themeColor="text1"/>
          <w:kern w:val="24"/>
          <w:sz w:val="20"/>
          <w:szCs w:val="20"/>
          <w:lang w:val="en-GB"/>
        </w:rPr>
        <w:t>Usability and visuals (1)</w:t>
      </w:r>
    </w:p>
    <w:p w14:paraId="36DC2CBA" w14:textId="77777777" w:rsidR="004F2822" w:rsidRPr="004F2822" w:rsidRDefault="00C53DDD" w:rsidP="3A61BC69">
      <w:pPr>
        <w:numPr>
          <w:ilvl w:val="1"/>
          <w:numId w:val="13"/>
        </w:numPr>
        <w:spacing w:after="100" w:afterAutospacing="1"/>
        <w:rPr>
          <w:rFonts w:eastAsiaTheme="minorEastAsia"/>
          <w:color w:val="000000" w:themeColor="text1"/>
          <w:kern w:val="24"/>
          <w:sz w:val="20"/>
          <w:szCs w:val="20"/>
          <w:lang w:val="en-GB"/>
        </w:rPr>
      </w:pPr>
      <w:r w:rsidRPr="3A61BC69">
        <w:rPr>
          <w:color w:val="000000" w:themeColor="text1"/>
          <w:kern w:val="24"/>
          <w:sz w:val="20"/>
          <w:szCs w:val="20"/>
          <w:lang w:val="en-US"/>
        </w:rPr>
        <w:t>The applications selected for the online implementation work and the materials are accessible through all types of terminal devices.</w:t>
      </w:r>
    </w:p>
    <w:p w14:paraId="3B026864" w14:textId="18964BBB" w:rsidR="00C53DDD" w:rsidRPr="00C53DDD" w:rsidRDefault="00C53DDD" w:rsidP="004F2822">
      <w:pPr>
        <w:spacing w:after="100" w:afterAutospacing="1"/>
        <w:rPr>
          <w:rFonts w:eastAsiaTheme="minorEastAsia"/>
          <w:color w:val="000000" w:themeColor="text1"/>
          <w:kern w:val="24"/>
          <w:sz w:val="20"/>
          <w:szCs w:val="20"/>
          <w:lang w:val="en-GB"/>
        </w:rPr>
      </w:pPr>
    </w:p>
    <w:p w14:paraId="40135F68" w14:textId="43984BBD" w:rsidR="004F2822" w:rsidRDefault="008A5773" w:rsidP="3A61BC69">
      <w:p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F509392" wp14:editId="328D2E30">
            <wp:simplePos x="0" y="0"/>
            <wp:positionH relativeFrom="column">
              <wp:posOffset>1981200</wp:posOffset>
            </wp:positionH>
            <wp:positionV relativeFrom="paragraph">
              <wp:posOffset>97790</wp:posOffset>
            </wp:positionV>
            <wp:extent cx="889000" cy="322580"/>
            <wp:effectExtent l="0" t="0" r="6350" b="1270"/>
            <wp:wrapThrough wrapText="bothSides">
              <wp:wrapPolygon edited="0">
                <wp:start x="0" y="0"/>
                <wp:lineTo x="0" y="20409"/>
                <wp:lineTo x="21291" y="20409"/>
                <wp:lineTo x="21291" y="0"/>
                <wp:lineTo x="0" y="0"/>
              </wp:wrapPolygon>
            </wp:wrapThrough>
            <wp:docPr id="7" name="Picture 6" descr="https://www.google.com/url?hl=et&amp;q=http://www.hamk.fi/tietoa-hamkista/viestintamateriaali/Documents/HAMK_yhdistelma_vari_72.jpg&amp;source=gmail&amp;ust=1492935625450000&amp;usg=AFQjCNEB1gIahQoLExuMZmg51jaSw_Wnf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https://www.google.com/url?hl=et&amp;q=http://www.hamk.fi/tietoa-hamkista/viestintamateriaali/Documents/HAMK_yhdistelma_vari_72.jpg&amp;source=gmail&amp;ust=1492935625450000&amp;usg=AFQjCNEB1gIahQoLExuMZmg51jaSw_Wnf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000" cy="32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t xml:space="preserve">  </w:t>
      </w:r>
      <w:r w:rsidR="004F2822">
        <w:rPr>
          <w:rFonts w:eastAsiaTheme="minorEastAsia" w:cs="Arial"/>
          <w:color w:val="000000" w:themeColor="text1"/>
          <w:kern w:val="24"/>
          <w:lang w:val="en-US"/>
        </w:rPr>
        <w:t xml:space="preserve">  </w:t>
      </w:r>
      <w:r>
        <w:rPr>
          <w:noProof/>
        </w:rPr>
        <w:drawing>
          <wp:inline distT="0" distB="0" distL="0" distR="0" wp14:anchorId="0CDF1007" wp14:editId="647689F3">
            <wp:extent cx="1568450" cy="440690"/>
            <wp:effectExtent l="0" t="0" r="0" b="0"/>
            <wp:docPr id="6" name="Picture 5" descr="TTK-logo-2013-v-kakskeel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TTK-logo-2013-v-kakskeeln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8450" cy="440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D9BC2B2" wp14:editId="1B88EA07">
            <wp:extent cx="1597556" cy="395325"/>
            <wp:effectExtent l="0" t="0" r="3175" b="5080"/>
            <wp:docPr id="8" name="Picture 7" descr="http://www.tsi.lv/sites/default/files/editor/images/logotsi/logo_h_eng_rgb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http://www.tsi.lv/sites/default/files/editor/images/logotsi/logo_h_eng_rgb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7556" cy="3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A5773">
        <w:rPr>
          <w:noProof/>
        </w:rPr>
        <w:drawing>
          <wp:inline distT="0" distB="0" distL="0" distR="0" wp14:anchorId="449E7816" wp14:editId="0B38BDE7">
            <wp:extent cx="403706" cy="287859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808" cy="300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C729E0" w14:textId="29FC9C02" w:rsidR="004F2822" w:rsidRDefault="008A5773" w:rsidP="3A61BC69">
      <w:p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noProof/>
        </w:rPr>
        <w:lastRenderedPageBreak/>
        <w:t xml:space="preserve">                                                                                                                                                   </w:t>
      </w:r>
    </w:p>
    <w:p w14:paraId="11D7A96D" w14:textId="77777777" w:rsidR="004F2822" w:rsidRDefault="004F2822" w:rsidP="3A61BC69">
      <w:p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</w:p>
    <w:p w14:paraId="6E414104" w14:textId="359E3803" w:rsidR="00037F87" w:rsidRDefault="000411C4" w:rsidP="3A61BC69">
      <w:pPr>
        <w:spacing w:after="100" w:afterAutospacing="1"/>
        <w:rPr>
          <w:rFonts w:eastAsiaTheme="minorEastAsia" w:cs="Arial"/>
          <w:color w:val="000000" w:themeColor="text1"/>
          <w:lang w:val="en-US"/>
        </w:rPr>
      </w:pPr>
      <w:r w:rsidRPr="3A61BC69">
        <w:rPr>
          <w:rFonts w:eastAsiaTheme="minorEastAsia" w:cs="Arial"/>
          <w:color w:val="000000" w:themeColor="text1"/>
          <w:kern w:val="24"/>
          <w:lang w:val="en-US"/>
        </w:rPr>
        <w:t>There were gathered students’ feedback during the pilots</w:t>
      </w:r>
      <w:r w:rsidR="007850E6" w:rsidRPr="3A61BC69">
        <w:rPr>
          <w:rFonts w:eastAsiaTheme="minorEastAsia" w:cs="Arial"/>
          <w:color w:val="000000" w:themeColor="text1"/>
          <w:kern w:val="24"/>
          <w:lang w:val="en-US"/>
        </w:rPr>
        <w:t xml:space="preserve">, and the questionnaire based on the quality criteria. 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It included </w:t>
      </w:r>
      <w:r w:rsidR="007850E6" w:rsidRPr="3A61BC69">
        <w:rPr>
          <w:rFonts w:eastAsiaTheme="minorEastAsia" w:cs="Arial"/>
          <w:color w:val="000000" w:themeColor="text1"/>
          <w:kern w:val="24"/>
          <w:lang w:val="en-US"/>
        </w:rPr>
        <w:t>17 statements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, where students </w:t>
      </w:r>
      <w:r>
        <w:rPr>
          <w:lang w:val="en-US"/>
        </w:rPr>
        <w:t>e</w:t>
      </w:r>
      <w:r w:rsidRPr="000411C4">
        <w:rPr>
          <w:lang w:val="en-US"/>
        </w:rPr>
        <w:t xml:space="preserve">valuate how well </w:t>
      </w:r>
      <w:r w:rsidR="003F1BFC">
        <w:rPr>
          <w:lang w:val="en-US"/>
        </w:rPr>
        <w:t>the quality criteria</w:t>
      </w:r>
      <w:r w:rsidRPr="000411C4">
        <w:rPr>
          <w:lang w:val="en-US"/>
        </w:rPr>
        <w:t xml:space="preserve"> were implemented during the course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, </w:t>
      </w:r>
      <w:r w:rsidR="007850E6" w:rsidRPr="3A61BC69">
        <w:rPr>
          <w:rFonts w:eastAsiaTheme="minorEastAsia" w:cs="Arial"/>
          <w:color w:val="000000" w:themeColor="text1"/>
          <w:kern w:val="24"/>
          <w:lang w:val="en-US"/>
        </w:rPr>
        <w:t>and one open-ended question.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="00CA01FC" w:rsidRPr="3A61BC69">
        <w:rPr>
          <w:rFonts w:eastAsiaTheme="minorEastAsia" w:cs="Arial"/>
          <w:color w:val="000000" w:themeColor="text1"/>
          <w:kern w:val="24"/>
          <w:lang w:val="en-US"/>
        </w:rPr>
        <w:t>Twenty-two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students answered the questionnaire</w:t>
      </w:r>
      <w:r w:rsidR="004F5108" w:rsidRPr="3A61BC69">
        <w:rPr>
          <w:rFonts w:eastAsiaTheme="minorEastAsia" w:cs="Arial"/>
          <w:color w:val="000000" w:themeColor="text1"/>
          <w:kern w:val="24"/>
          <w:lang w:val="en-US"/>
        </w:rPr>
        <w:t>,</w:t>
      </w:r>
      <w:r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and the statements were agreed or lightly agreed.</w:t>
      </w:r>
      <w:r w:rsidR="00CA01FC" w:rsidRPr="3A61BC69">
        <w:rPr>
          <w:rFonts w:eastAsiaTheme="minorEastAsia" w:cs="Arial"/>
          <w:color w:val="000000" w:themeColor="text1"/>
          <w:kern w:val="24"/>
          <w:lang w:val="en-US"/>
        </w:rPr>
        <w:t xml:space="preserve"> The students experienced pilots and especially simulations very interesting</w:t>
      </w:r>
      <w:r w:rsidR="00264B1A">
        <w:rPr>
          <w:rFonts w:eastAsiaTheme="minorEastAsia" w:cs="Arial"/>
          <w:color w:val="000000" w:themeColor="text1"/>
          <w:kern w:val="24"/>
          <w:lang w:val="en-US"/>
        </w:rPr>
        <w:t xml:space="preserve">. </w:t>
      </w:r>
      <w:r w:rsidR="00037F87">
        <w:rPr>
          <w:rFonts w:eastAsiaTheme="minorEastAsia" w:cs="Arial"/>
          <w:color w:val="000000" w:themeColor="text1"/>
          <w:kern w:val="24"/>
          <w:lang w:val="en-US"/>
        </w:rPr>
        <w:t xml:space="preserve">Statements in the </w:t>
      </w:r>
      <w:r w:rsidR="00037F87" w:rsidRPr="3A61BC69">
        <w:rPr>
          <w:rFonts w:eastAsiaTheme="minorEastAsia" w:cs="Arial"/>
          <w:color w:val="000000" w:themeColor="text1"/>
          <w:kern w:val="24"/>
          <w:lang w:val="en-US"/>
        </w:rPr>
        <w:t>questionnaire</w:t>
      </w:r>
      <w:r w:rsidR="00037F87">
        <w:rPr>
          <w:rFonts w:eastAsiaTheme="minorEastAsia" w:cs="Arial"/>
          <w:color w:val="000000" w:themeColor="text1"/>
          <w:kern w:val="24"/>
          <w:lang w:val="en-US"/>
        </w:rPr>
        <w:t>:</w:t>
      </w:r>
      <w:r w:rsidRPr="003F1BFC">
        <w:rPr>
          <w:lang w:val="en-US"/>
        </w:rPr>
        <w:br/>
      </w:r>
      <w:r w:rsidR="00037F87">
        <w:rPr>
          <w:noProof/>
        </w:rPr>
        <w:drawing>
          <wp:inline distT="0" distB="0" distL="0" distR="0" wp14:anchorId="2EF128E0" wp14:editId="74B9F5FC">
            <wp:extent cx="5181600" cy="5600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560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D59FD" w14:textId="1A9BC1A8" w:rsidR="00C033CF" w:rsidRDefault="00264B1A" w:rsidP="3A61BC69">
      <w:p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 w:rsidRPr="00264B1A">
        <w:rPr>
          <w:rFonts w:eastAsiaTheme="minorEastAsia" w:cs="Arial"/>
          <w:color w:val="000000" w:themeColor="text1"/>
          <w:kern w:val="24"/>
          <w:lang w:val="en-US"/>
        </w:rPr>
        <w:t xml:space="preserve">The survey was conducted as an online survey using </w:t>
      </w:r>
      <w:proofErr w:type="spellStart"/>
      <w:r>
        <w:rPr>
          <w:rFonts w:eastAsiaTheme="minorEastAsia" w:cs="Arial"/>
          <w:color w:val="000000" w:themeColor="text1"/>
          <w:kern w:val="24"/>
          <w:lang w:val="en-US"/>
        </w:rPr>
        <w:t>Webropol</w:t>
      </w:r>
      <w:proofErr w:type="spellEnd"/>
      <w:r w:rsidR="003F3D27"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="003F3D27" w:rsidRPr="003F3D27">
        <w:rPr>
          <w:rFonts w:eastAsiaTheme="minorEastAsia" w:cs="Arial"/>
          <w:color w:val="000000" w:themeColor="text1"/>
          <w:kern w:val="24"/>
          <w:lang w:val="en-US"/>
        </w:rPr>
        <w:t>survey and reporting tool</w:t>
      </w:r>
      <w:r w:rsidR="003F3D27">
        <w:rPr>
          <w:rFonts w:eastAsiaTheme="minorEastAsia" w:cs="Arial"/>
          <w:color w:val="000000" w:themeColor="text1"/>
          <w:kern w:val="24"/>
          <w:lang w:val="en-US"/>
        </w:rPr>
        <w:t>.</w:t>
      </w:r>
    </w:p>
    <w:p w14:paraId="5333665C" w14:textId="77777777" w:rsidR="00C033CF" w:rsidRDefault="00C033CF">
      <w:pPr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br w:type="page"/>
      </w:r>
    </w:p>
    <w:p w14:paraId="1FBA6403" w14:textId="77777777" w:rsidR="0061630E" w:rsidRDefault="00EE3302" w:rsidP="0061630E">
      <w:pPr>
        <w:pStyle w:val="Heading2"/>
        <w:rPr>
          <w:rFonts w:eastAsiaTheme="minorEastAsia"/>
          <w:lang w:val="en-US"/>
        </w:rPr>
      </w:pPr>
      <w:r w:rsidRPr="001D4D30">
        <w:rPr>
          <w:rFonts w:eastAsiaTheme="minorEastAsia"/>
          <w:u w:val="single"/>
          <w:lang w:val="en-US"/>
        </w:rPr>
        <w:lastRenderedPageBreak/>
        <w:t>Result 3</w:t>
      </w:r>
      <w:r w:rsidRPr="001D4D30">
        <w:rPr>
          <w:rFonts w:eastAsiaTheme="minorEastAsia"/>
          <w:lang w:val="en-US"/>
        </w:rPr>
        <w:t xml:space="preserve">: Development of methodological approach of cross-study and virtual </w:t>
      </w:r>
      <w:proofErr w:type="gramStart"/>
      <w:r w:rsidRPr="001D4D30">
        <w:rPr>
          <w:rFonts w:eastAsiaTheme="minorEastAsia"/>
          <w:lang w:val="en-US"/>
        </w:rPr>
        <w:t>team</w:t>
      </w:r>
      <w:r w:rsidR="00B1367C">
        <w:rPr>
          <w:rFonts w:eastAsiaTheme="minorEastAsia"/>
          <w:lang w:val="en-US"/>
        </w:rPr>
        <w:t xml:space="preserve"> </w:t>
      </w:r>
      <w:r w:rsidRPr="001D4D30">
        <w:rPr>
          <w:rFonts w:eastAsiaTheme="minorEastAsia"/>
          <w:lang w:val="en-US"/>
        </w:rPr>
        <w:t>work</w:t>
      </w:r>
      <w:proofErr w:type="gramEnd"/>
      <w:r w:rsidRPr="001D4D30">
        <w:rPr>
          <w:rFonts w:eastAsiaTheme="minorEastAsia"/>
          <w:lang w:val="en-US"/>
        </w:rPr>
        <w:t xml:space="preserve"> for e-learning materials based on Carpe Diem learning design process</w:t>
      </w:r>
      <w:r w:rsidR="0061630E">
        <w:rPr>
          <w:rFonts w:eastAsiaTheme="minorEastAsia"/>
          <w:lang w:val="en-US"/>
        </w:rPr>
        <w:br/>
      </w:r>
    </w:p>
    <w:p w14:paraId="61832DDB" w14:textId="60365727" w:rsidR="00EE3302" w:rsidRDefault="00EE3302" w:rsidP="00CA01FC">
      <w:pPr>
        <w:rPr>
          <w:rFonts w:eastAsiaTheme="minorEastAsia" w:cs="Arial"/>
          <w:color w:val="000000" w:themeColor="text1"/>
          <w:kern w:val="24"/>
          <w:lang w:val="en-US"/>
        </w:rPr>
      </w:pPr>
      <w:proofErr w:type="spellStart"/>
      <w:r w:rsidRPr="001D4D30">
        <w:rPr>
          <w:rFonts w:eastAsiaTheme="minorEastAsia"/>
          <w:bCs/>
          <w:color w:val="000000" w:themeColor="text1"/>
          <w:kern w:val="24"/>
          <w:lang w:val="en-US"/>
        </w:rPr>
        <w:t>Jaana</w:t>
      </w:r>
      <w:proofErr w:type="spellEnd"/>
      <w:r w:rsidRPr="001D4D30">
        <w:rPr>
          <w:rFonts w:eastAsiaTheme="minorEastAsia"/>
          <w:bCs/>
          <w:color w:val="000000" w:themeColor="text1"/>
          <w:kern w:val="24"/>
          <w:lang w:val="en-US"/>
        </w:rPr>
        <w:t xml:space="preserve"> </w:t>
      </w:r>
      <w:proofErr w:type="spellStart"/>
      <w:r w:rsidRPr="001D4D30">
        <w:rPr>
          <w:rFonts w:eastAsiaTheme="minorEastAsia"/>
          <w:bCs/>
          <w:color w:val="000000" w:themeColor="text1"/>
          <w:kern w:val="24"/>
          <w:lang w:val="en-US"/>
        </w:rPr>
        <w:t>Kullaslahti</w:t>
      </w:r>
      <w:proofErr w:type="spellEnd"/>
      <w:r w:rsidRPr="001D4D30">
        <w:rPr>
          <w:rFonts w:eastAsiaTheme="minorEastAsia"/>
          <w:bCs/>
          <w:color w:val="000000" w:themeColor="text1"/>
          <w:kern w:val="24"/>
          <w:lang w:val="en-US"/>
        </w:rPr>
        <w:t xml:space="preserve"> and </w:t>
      </w:r>
      <w:proofErr w:type="spellStart"/>
      <w:r w:rsidRPr="001D4D30">
        <w:rPr>
          <w:rFonts w:eastAsiaTheme="minorEastAsia"/>
          <w:bCs/>
          <w:color w:val="000000" w:themeColor="text1"/>
          <w:kern w:val="24"/>
          <w:lang w:val="en-US"/>
        </w:rPr>
        <w:t>Tarjaleena</w:t>
      </w:r>
      <w:proofErr w:type="spellEnd"/>
      <w:r w:rsidRPr="001D4D30">
        <w:rPr>
          <w:rFonts w:eastAsiaTheme="minorEastAsia"/>
          <w:bCs/>
          <w:color w:val="000000" w:themeColor="text1"/>
          <w:kern w:val="24"/>
          <w:lang w:val="en-US"/>
        </w:rPr>
        <w:t xml:space="preserve"> </w:t>
      </w:r>
      <w:proofErr w:type="spellStart"/>
      <w:r w:rsidRPr="001D4D30">
        <w:rPr>
          <w:rFonts w:eastAsiaTheme="minorEastAsia"/>
          <w:bCs/>
          <w:color w:val="000000" w:themeColor="text1"/>
          <w:kern w:val="24"/>
          <w:lang w:val="en-US"/>
        </w:rPr>
        <w:t>Tuukkanen</w:t>
      </w:r>
      <w:proofErr w:type="spellEnd"/>
    </w:p>
    <w:p w14:paraId="17767126" w14:textId="466E55BE" w:rsidR="008F25E5" w:rsidRDefault="008F25E5" w:rsidP="00EE3302">
      <w:p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 xml:space="preserve">Carpe Diem learning design process included: </w:t>
      </w:r>
    </w:p>
    <w:p w14:paraId="3315AD09" w14:textId="55E6E595" w:rsidR="008F25E5" w:rsidRPr="008F25E5" w:rsidRDefault="008F25E5" w:rsidP="0062442A">
      <w:pPr>
        <w:numPr>
          <w:ilvl w:val="0"/>
          <w:numId w:val="3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</w:rPr>
      </w:pPr>
      <w:r>
        <w:rPr>
          <w:rFonts w:eastAsiaTheme="minorEastAsia" w:cs="Arial"/>
          <w:color w:val="000000" w:themeColor="text1"/>
          <w:kern w:val="24"/>
        </w:rPr>
        <w:t>Five</w:t>
      </w:r>
      <w:r w:rsidRPr="008F25E5">
        <w:rPr>
          <w:rFonts w:eastAsiaTheme="minorEastAsia" w:cs="Arial"/>
          <w:color w:val="000000" w:themeColor="text1"/>
          <w:kern w:val="24"/>
        </w:rPr>
        <w:t xml:space="preserve"> webinars &amp; </w:t>
      </w:r>
      <w:r>
        <w:rPr>
          <w:rFonts w:eastAsiaTheme="minorEastAsia" w:cs="Arial"/>
          <w:color w:val="000000" w:themeColor="text1"/>
          <w:kern w:val="24"/>
        </w:rPr>
        <w:t>two</w:t>
      </w:r>
      <w:r w:rsidRPr="008F25E5">
        <w:rPr>
          <w:rFonts w:eastAsiaTheme="minorEastAsia" w:cs="Arial"/>
          <w:color w:val="000000" w:themeColor="text1"/>
          <w:kern w:val="24"/>
        </w:rPr>
        <w:t xml:space="preserve"> workshops (2019)</w:t>
      </w:r>
    </w:p>
    <w:p w14:paraId="619BF5DA" w14:textId="2895E628" w:rsidR="008F25E5" w:rsidRPr="008F25E5" w:rsidRDefault="008F25E5" w:rsidP="0062442A">
      <w:pPr>
        <w:numPr>
          <w:ilvl w:val="0"/>
          <w:numId w:val="3"/>
        </w:num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>T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>eams</w:t>
      </w:r>
      <w:r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>worked with their</w:t>
      </w:r>
      <w:r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>own course/unit and prepared for the next webinar/workshop</w:t>
      </w:r>
    </w:p>
    <w:p w14:paraId="3733A641" w14:textId="19AF3C58" w:rsidR="008F25E5" w:rsidRDefault="008F25E5" w:rsidP="0062442A">
      <w:pPr>
        <w:numPr>
          <w:ilvl w:val="0"/>
          <w:numId w:val="3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</w:rPr>
      </w:pPr>
      <w:r>
        <w:rPr>
          <w:rFonts w:eastAsiaTheme="minorEastAsia" w:cs="Arial"/>
          <w:color w:val="000000" w:themeColor="text1"/>
          <w:kern w:val="24"/>
        </w:rPr>
        <w:t>Two</w:t>
      </w:r>
      <w:r w:rsidRPr="008F25E5">
        <w:rPr>
          <w:rFonts w:eastAsiaTheme="minorEastAsia" w:cs="Arial"/>
          <w:color w:val="000000" w:themeColor="text1"/>
          <w:kern w:val="24"/>
        </w:rPr>
        <w:t xml:space="preserve"> webinars (2020)</w:t>
      </w:r>
    </w:p>
    <w:p w14:paraId="72AAB95A" w14:textId="36EC00B7" w:rsidR="008F25E5" w:rsidRPr="008F25E5" w:rsidRDefault="00DB0009" w:rsidP="00DB0009">
      <w:pPr>
        <w:numPr>
          <w:ilvl w:val="0"/>
          <w:numId w:val="3"/>
        </w:numPr>
        <w:spacing w:after="100" w:afterAutospacing="1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>T</w:t>
      </w:r>
      <w:r w:rsidR="008F25E5" w:rsidRPr="008F25E5">
        <w:rPr>
          <w:rFonts w:eastAsiaTheme="minorEastAsia" w:cs="Arial"/>
          <w:color w:val="000000" w:themeColor="text1"/>
          <w:kern w:val="24"/>
          <w:lang w:val="en-US"/>
        </w:rPr>
        <w:t>eams</w:t>
      </w:r>
      <w:r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="008F25E5" w:rsidRPr="008F25E5">
        <w:rPr>
          <w:rFonts w:eastAsiaTheme="minorEastAsia" w:cs="Arial"/>
          <w:color w:val="000000" w:themeColor="text1"/>
          <w:kern w:val="24"/>
          <w:lang w:val="en-US"/>
        </w:rPr>
        <w:t>worked with their</w:t>
      </w:r>
      <w:r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  <w:r w:rsidR="008F25E5" w:rsidRPr="008F25E5">
        <w:rPr>
          <w:rFonts w:eastAsiaTheme="minorEastAsia" w:cs="Arial"/>
          <w:color w:val="000000" w:themeColor="text1"/>
          <w:kern w:val="24"/>
          <w:lang w:val="en-US"/>
        </w:rPr>
        <w:t>own course/unit and prepared for the next webinar/worksho</w:t>
      </w:r>
      <w:r>
        <w:rPr>
          <w:rFonts w:eastAsiaTheme="minorEastAsia" w:cs="Arial"/>
          <w:color w:val="000000" w:themeColor="text1"/>
          <w:kern w:val="24"/>
          <w:lang w:val="en-US"/>
        </w:rPr>
        <w:t>p and pilot</w:t>
      </w:r>
    </w:p>
    <w:p w14:paraId="769DAE45" w14:textId="6FE9BFC2" w:rsidR="3A61BC69" w:rsidRPr="00B1367C" w:rsidRDefault="008F25E5" w:rsidP="3A61BC69">
      <w:pPr>
        <w:numPr>
          <w:ilvl w:val="0"/>
          <w:numId w:val="3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 w:rsidRPr="3A61BC69">
        <w:rPr>
          <w:rFonts w:eastAsiaTheme="minorEastAsia" w:cs="Arial"/>
          <w:color w:val="000000" w:themeColor="text1"/>
          <w:kern w:val="24"/>
          <w:lang w:val="en-US"/>
        </w:rPr>
        <w:t>Pilots started in spring 2020 and ended in fall 2020</w:t>
      </w:r>
    </w:p>
    <w:p w14:paraId="7AC20063" w14:textId="4828D12A" w:rsidR="008F25E5" w:rsidRDefault="008F25E5" w:rsidP="008F25E5">
      <w:p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 xml:space="preserve">We gathered feedback about the Carpe Diem methodology from all partners, and it was very positive: </w:t>
      </w:r>
    </w:p>
    <w:p w14:paraId="24BEE772" w14:textId="674FCD14" w:rsidR="008F25E5" w:rsidRDefault="008F25E5" w:rsidP="008F25E5">
      <w:pPr>
        <w:numPr>
          <w:ilvl w:val="0"/>
          <w:numId w:val="4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 xml:space="preserve">a 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>useful way of working</w:t>
      </w:r>
      <w:r>
        <w:rPr>
          <w:rFonts w:eastAsiaTheme="minorEastAsia" w:cs="Arial"/>
          <w:color w:val="000000" w:themeColor="text1"/>
          <w:kern w:val="24"/>
          <w:lang w:val="en-US"/>
        </w:rPr>
        <w:t xml:space="preserve"> </w:t>
      </w:r>
    </w:p>
    <w:p w14:paraId="2A0EBCF2" w14:textId="7B7B66EF" w:rsidR="008F25E5" w:rsidRPr="008F25E5" w:rsidRDefault="008F25E5" w:rsidP="008F25E5">
      <w:pPr>
        <w:numPr>
          <w:ilvl w:val="0"/>
          <w:numId w:val="4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>the p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 xml:space="preserve">rocess </w:t>
      </w:r>
      <w:r>
        <w:rPr>
          <w:rFonts w:eastAsiaTheme="minorEastAsia" w:cs="Arial"/>
          <w:color w:val="000000" w:themeColor="text1"/>
          <w:kern w:val="24"/>
          <w:lang w:val="en-US"/>
        </w:rPr>
        <w:t>was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 xml:space="preserve"> logical and well structured</w:t>
      </w:r>
    </w:p>
    <w:p w14:paraId="6F60D710" w14:textId="77777777" w:rsidR="008F25E5" w:rsidRDefault="008F25E5" w:rsidP="008F25E5">
      <w:pPr>
        <w:numPr>
          <w:ilvl w:val="0"/>
          <w:numId w:val="4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 w:rsidRPr="008F25E5">
        <w:rPr>
          <w:rFonts w:eastAsiaTheme="minorEastAsia" w:cs="Arial"/>
          <w:color w:val="000000" w:themeColor="text1"/>
          <w:kern w:val="24"/>
          <w:lang w:val="en-US"/>
        </w:rPr>
        <w:t>fits well with the goals of institutional cross-study</w:t>
      </w:r>
    </w:p>
    <w:p w14:paraId="0012ABA7" w14:textId="644B6D6C" w:rsidR="008F25E5" w:rsidRDefault="008F25E5" w:rsidP="008F25E5">
      <w:pPr>
        <w:numPr>
          <w:ilvl w:val="0"/>
          <w:numId w:val="4"/>
        </w:numPr>
        <w:spacing w:after="100" w:afterAutospacing="1"/>
        <w:jc w:val="both"/>
        <w:rPr>
          <w:rFonts w:eastAsiaTheme="minorEastAsia" w:cs="Arial"/>
          <w:color w:val="000000" w:themeColor="text1"/>
          <w:kern w:val="24"/>
          <w:lang w:val="en-US"/>
        </w:rPr>
      </w:pPr>
      <w:r>
        <w:rPr>
          <w:rFonts w:eastAsiaTheme="minorEastAsia" w:cs="Arial"/>
          <w:color w:val="000000" w:themeColor="text1"/>
          <w:kern w:val="24"/>
          <w:lang w:val="en-US"/>
        </w:rPr>
        <w:t xml:space="preserve">will </w:t>
      </w:r>
      <w:r w:rsidRPr="008F25E5">
        <w:rPr>
          <w:rFonts w:eastAsiaTheme="minorEastAsia" w:cs="Arial"/>
          <w:color w:val="000000" w:themeColor="text1"/>
          <w:kern w:val="24"/>
          <w:lang w:val="en-US"/>
        </w:rPr>
        <w:t>help the study process</w:t>
      </w:r>
      <w:r w:rsidR="00321E2C">
        <w:rPr>
          <w:rFonts w:eastAsiaTheme="minorEastAsia" w:cs="Arial"/>
          <w:color w:val="000000" w:themeColor="text1"/>
          <w:kern w:val="24"/>
          <w:lang w:val="en-US"/>
        </w:rPr>
        <w:t xml:space="preserve"> and makes it visual for the students</w:t>
      </w:r>
      <w:r w:rsidR="00DF33B0">
        <w:rPr>
          <w:rFonts w:eastAsiaTheme="minorEastAsia" w:cs="Arial"/>
          <w:color w:val="000000" w:themeColor="text1"/>
          <w:kern w:val="24"/>
          <w:lang w:val="en-US"/>
        </w:rPr>
        <w:t xml:space="preserve"> and teachers</w:t>
      </w:r>
    </w:p>
    <w:p w14:paraId="5A9A646D" w14:textId="48C87BF6" w:rsidR="3A61BC69" w:rsidRDefault="008F25E5" w:rsidP="3A61BC69">
      <w:pPr>
        <w:numPr>
          <w:ilvl w:val="0"/>
          <w:numId w:val="4"/>
        </w:numPr>
        <w:spacing w:after="100" w:afterAutospacing="1"/>
        <w:jc w:val="both"/>
        <w:rPr>
          <w:rFonts w:eastAsiaTheme="minorEastAsia"/>
          <w:color w:val="000000" w:themeColor="text1"/>
          <w:kern w:val="24"/>
          <w:lang w:val="en-US"/>
        </w:rPr>
      </w:pPr>
      <w:r w:rsidRPr="3A61BC69">
        <w:rPr>
          <w:rFonts w:eastAsiaTheme="minorEastAsia"/>
          <w:color w:val="000000" w:themeColor="text1"/>
          <w:kern w:val="24"/>
          <w:lang w:val="en-US"/>
        </w:rPr>
        <w:t>universities should share their know-how, more co-operation</w:t>
      </w:r>
    </w:p>
    <w:p w14:paraId="4E48769D" w14:textId="114DF9E4" w:rsidR="0061630E" w:rsidRPr="00B1367C" w:rsidRDefault="0061630E" w:rsidP="0061630E">
      <w:pPr>
        <w:spacing w:after="100" w:afterAutospacing="1"/>
        <w:jc w:val="both"/>
        <w:rPr>
          <w:rFonts w:eastAsiaTheme="minorEastAsia"/>
          <w:color w:val="000000" w:themeColor="text1"/>
          <w:kern w:val="24"/>
          <w:lang w:val="en-US"/>
        </w:rPr>
      </w:pPr>
      <w:r>
        <w:rPr>
          <w:noProof/>
        </w:rPr>
        <w:drawing>
          <wp:inline distT="0" distB="0" distL="0" distR="0" wp14:anchorId="77784F68" wp14:editId="77B5C7F8">
            <wp:extent cx="5731510" cy="4017645"/>
            <wp:effectExtent l="0" t="0" r="254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17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0F180" w14:textId="04B2AAC8" w:rsidR="00245A1D" w:rsidRPr="000D765A" w:rsidRDefault="61B67AA4" w:rsidP="3A61BC69">
      <w:pPr>
        <w:spacing w:line="257" w:lineRule="auto"/>
        <w:rPr>
          <w:lang w:val="en-GB"/>
        </w:rPr>
      </w:pPr>
      <w:r w:rsidRPr="3A61BC69">
        <w:rPr>
          <w:rFonts w:ascii="Calibri" w:eastAsia="Calibri" w:hAnsi="Calibri" w:cs="Calibri"/>
          <w:color w:val="000000" w:themeColor="text1"/>
          <w:lang w:val="en-GB"/>
        </w:rPr>
        <w:t>Before the pilots</w:t>
      </w:r>
      <w:r w:rsidRPr="3A61BC69">
        <w:rPr>
          <w:rFonts w:ascii="Calibri" w:eastAsia="Calibri" w:hAnsi="Calibri" w:cs="Calibri"/>
          <w:lang w:val="en-GB"/>
        </w:rPr>
        <w:t xml:space="preserve">, all partners discussed and agreed on the first version about common principles for cross-studying. </w:t>
      </w:r>
      <w:r w:rsidRPr="3A61BC69">
        <w:rPr>
          <w:rFonts w:ascii="Calibri" w:eastAsia="Calibri" w:hAnsi="Calibri" w:cs="Calibri"/>
          <w:color w:val="000000" w:themeColor="text1"/>
          <w:lang w:val="en-US"/>
        </w:rPr>
        <w:t xml:space="preserve"> The next version will be published at the end of spring 2021.</w:t>
      </w:r>
      <w:r w:rsidR="0061630E">
        <w:rPr>
          <w:rFonts w:ascii="Calibri" w:eastAsia="Calibri" w:hAnsi="Calibri" w:cs="Calibri"/>
          <w:color w:val="000000" w:themeColor="text1"/>
          <w:lang w:val="en-US"/>
        </w:rPr>
        <w:t xml:space="preserve"> The first version:</w:t>
      </w:r>
    </w:p>
    <w:p w14:paraId="33F02634" w14:textId="755A9D39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lastRenderedPageBreak/>
        <w:t>The partners will agree on which parts of the modules will be offered virtually. Each partner will offer at least one part of a module.</w:t>
      </w:r>
    </w:p>
    <w:p w14:paraId="7FAB4A44" w14:textId="2310AB67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>The offered courses will be compiled on a joint website to be viewed by the students. The website will display implementation plans and registration instructions</w:t>
      </w:r>
      <w:r w:rsidR="000D765A">
        <w:rPr>
          <w:rFonts w:asciiTheme="minorHAnsi" w:hAnsiTheme="minorHAnsi" w:cstheme="minorHAnsi"/>
          <w:sz w:val="22"/>
          <w:szCs w:val="22"/>
        </w:rPr>
        <w:t xml:space="preserve"> and</w:t>
      </w:r>
      <w:r w:rsidRPr="000D765A">
        <w:rPr>
          <w:rFonts w:asciiTheme="minorHAnsi" w:hAnsiTheme="minorHAnsi" w:cstheme="minorHAnsi"/>
          <w:sz w:val="22"/>
          <w:szCs w:val="22"/>
        </w:rPr>
        <w:t xml:space="preserve"> the necessary tools and contact information</w:t>
      </w:r>
      <w:r w:rsidR="000D765A" w:rsidRPr="000D765A">
        <w:rPr>
          <w:rFonts w:asciiTheme="minorHAnsi" w:hAnsiTheme="minorHAnsi" w:cstheme="minorHAnsi"/>
          <w:sz w:val="22"/>
          <w:szCs w:val="22"/>
        </w:rPr>
        <w:t>.</w:t>
      </w:r>
    </w:p>
    <w:p w14:paraId="596D53F8" w14:textId="77777777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>Students will ascertain the suitability of the studies to their study programmes at their respective universities or educational institutions</w:t>
      </w:r>
    </w:p>
    <w:p w14:paraId="3F655CBA" w14:textId="77777777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 xml:space="preserve">Students will </w:t>
      </w:r>
      <w:proofErr w:type="spellStart"/>
      <w:r w:rsidRPr="000D765A">
        <w:rPr>
          <w:rFonts w:asciiTheme="minorHAnsi" w:hAnsiTheme="minorHAnsi" w:cstheme="minorHAnsi"/>
          <w:sz w:val="22"/>
          <w:szCs w:val="22"/>
        </w:rPr>
        <w:t>enroll</w:t>
      </w:r>
      <w:proofErr w:type="spellEnd"/>
      <w:r w:rsidRPr="000D765A">
        <w:rPr>
          <w:rFonts w:asciiTheme="minorHAnsi" w:hAnsiTheme="minorHAnsi" w:cstheme="minorHAnsi"/>
          <w:sz w:val="22"/>
          <w:szCs w:val="22"/>
        </w:rPr>
        <w:t xml:space="preserve"> at a university or educational institution offering the studies. This will involve filling out a form, available on the website, by the appointed deadline</w:t>
      </w:r>
    </w:p>
    <w:p w14:paraId="0F0DBAE2" w14:textId="518C4B2F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>The implementation will involve a learning platform provided by the university or educational institution</w:t>
      </w:r>
      <w:r w:rsidR="000D765A">
        <w:rPr>
          <w:rFonts w:asciiTheme="minorHAnsi" w:hAnsiTheme="minorHAnsi" w:cstheme="minorHAnsi"/>
          <w:sz w:val="22"/>
          <w:szCs w:val="22"/>
        </w:rPr>
        <w:t>,</w:t>
      </w:r>
      <w:r w:rsidRPr="000D765A">
        <w:rPr>
          <w:rFonts w:asciiTheme="minorHAnsi" w:hAnsiTheme="minorHAnsi" w:cstheme="minorHAnsi"/>
          <w:sz w:val="22"/>
          <w:szCs w:val="22"/>
        </w:rPr>
        <w:t xml:space="preserve"> and appointed tools will be used for working on the studies</w:t>
      </w:r>
      <w:r w:rsidR="000D765A" w:rsidRPr="000D765A">
        <w:rPr>
          <w:rFonts w:asciiTheme="minorHAnsi" w:hAnsiTheme="minorHAnsi" w:cstheme="minorHAnsi"/>
          <w:sz w:val="22"/>
          <w:szCs w:val="22"/>
        </w:rPr>
        <w:t>.</w:t>
      </w:r>
    </w:p>
    <w:p w14:paraId="39A35D84" w14:textId="19050F28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>During the implementation, the provider of a module or any part of it will assume responsibility for student guidance in terms of content and technique</w:t>
      </w:r>
      <w:r w:rsidR="000D765A" w:rsidRPr="000D765A">
        <w:rPr>
          <w:rFonts w:asciiTheme="minorHAnsi" w:hAnsiTheme="minorHAnsi" w:cstheme="minorHAnsi"/>
          <w:sz w:val="22"/>
          <w:szCs w:val="22"/>
        </w:rPr>
        <w:t>.</w:t>
      </w:r>
    </w:p>
    <w:p w14:paraId="2C6A5E14" w14:textId="72232DC5" w:rsidR="00816809" w:rsidRPr="000D765A" w:rsidRDefault="00816809" w:rsidP="00816809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>The overall assessment of a module or part of it will be completed within one month after the module ends</w:t>
      </w:r>
      <w:r w:rsidR="000D765A" w:rsidRPr="000D765A">
        <w:rPr>
          <w:rFonts w:asciiTheme="minorHAnsi" w:hAnsiTheme="minorHAnsi" w:cstheme="minorHAnsi"/>
          <w:sz w:val="22"/>
          <w:szCs w:val="22"/>
        </w:rPr>
        <w:t>.</w:t>
      </w:r>
    </w:p>
    <w:p w14:paraId="0FD7241C" w14:textId="6B31E74A" w:rsidR="00816809" w:rsidRPr="000D765A" w:rsidRDefault="00816809" w:rsidP="000D765A">
      <w:pPr>
        <w:pStyle w:val="ListParagraph"/>
        <w:numPr>
          <w:ilvl w:val="0"/>
          <w:numId w:val="14"/>
        </w:numPr>
        <w:rPr>
          <w:rFonts w:asciiTheme="minorHAnsi" w:hAnsiTheme="minorHAnsi" w:cstheme="minorHAnsi"/>
          <w:sz w:val="22"/>
          <w:szCs w:val="22"/>
        </w:rPr>
      </w:pPr>
      <w:r w:rsidRPr="000D765A">
        <w:rPr>
          <w:rFonts w:asciiTheme="minorHAnsi" w:hAnsiTheme="minorHAnsi" w:cstheme="minorHAnsi"/>
          <w:sz w:val="22"/>
          <w:szCs w:val="22"/>
        </w:rPr>
        <w:t>The university in charge of implementation will forward each student assessment to the student’s home university or educational institution within one month after the module or part of it ends</w:t>
      </w:r>
      <w:r w:rsidR="000D765A" w:rsidRPr="000D765A">
        <w:rPr>
          <w:rFonts w:asciiTheme="minorHAnsi" w:hAnsiTheme="minorHAnsi" w:cstheme="minorHAnsi"/>
          <w:sz w:val="22"/>
          <w:szCs w:val="22"/>
        </w:rPr>
        <w:t>.</w:t>
      </w:r>
    </w:p>
    <w:sectPr w:rsidR="00816809" w:rsidRPr="000D76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CF4BA7"/>
    <w:multiLevelType w:val="hybridMultilevel"/>
    <w:tmpl w:val="30989680"/>
    <w:lvl w:ilvl="0" w:tplc="10A4B4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0DA2E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F6A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F686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56FB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F3EE8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F448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3AD7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DD82B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8455523"/>
    <w:multiLevelType w:val="hybridMultilevel"/>
    <w:tmpl w:val="B79E9740"/>
    <w:lvl w:ilvl="0" w:tplc="10A4B4F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EB2239"/>
    <w:multiLevelType w:val="hybridMultilevel"/>
    <w:tmpl w:val="3DC07334"/>
    <w:lvl w:ilvl="0" w:tplc="109C8B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232EE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A6C0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34CE8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E3837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52055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1BCC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769C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D830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B9E0EAE"/>
    <w:multiLevelType w:val="hybridMultilevel"/>
    <w:tmpl w:val="C5689BF6"/>
    <w:lvl w:ilvl="0" w:tplc="A68A76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8404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82D6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5AA2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B022A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C5E70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0F841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A7638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1C2B4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08235BF"/>
    <w:multiLevelType w:val="hybridMultilevel"/>
    <w:tmpl w:val="5F2A4550"/>
    <w:lvl w:ilvl="0" w:tplc="849E19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76620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D824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BAE4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CE9F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388A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668EA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0631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8E7D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8374B09"/>
    <w:multiLevelType w:val="hybridMultilevel"/>
    <w:tmpl w:val="CCE27BEC"/>
    <w:lvl w:ilvl="0" w:tplc="10A4B4F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9B399B"/>
    <w:multiLevelType w:val="hybridMultilevel"/>
    <w:tmpl w:val="43628E08"/>
    <w:lvl w:ilvl="0" w:tplc="3B7A44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C3AF5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C42B0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6C08D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76DA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E60A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9CDE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F085C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53472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ED17E46"/>
    <w:multiLevelType w:val="hybridMultilevel"/>
    <w:tmpl w:val="4EA46A9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C401D8"/>
    <w:multiLevelType w:val="hybridMultilevel"/>
    <w:tmpl w:val="C1101D96"/>
    <w:lvl w:ilvl="0" w:tplc="4C8E5A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20D0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A141C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EA35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6669C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5E8A2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C7E54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796EF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D4074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7E53E84"/>
    <w:multiLevelType w:val="hybridMultilevel"/>
    <w:tmpl w:val="3EFA8F30"/>
    <w:lvl w:ilvl="0" w:tplc="040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0307FA"/>
    <w:multiLevelType w:val="hybridMultilevel"/>
    <w:tmpl w:val="59E4F82C"/>
    <w:lvl w:ilvl="0" w:tplc="51A22B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3671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E4A59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2A23D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024C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3A3E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7AABD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F48E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6A6AF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6704557D"/>
    <w:multiLevelType w:val="hybridMultilevel"/>
    <w:tmpl w:val="729C3014"/>
    <w:lvl w:ilvl="0" w:tplc="040B000B">
      <w:start w:val="1"/>
      <w:numFmt w:val="bullet"/>
      <w:lvlText w:val=""/>
      <w:lvlJc w:val="left"/>
      <w:pPr>
        <w:ind w:left="1568" w:hanging="360"/>
      </w:pPr>
      <w:rPr>
        <w:rFonts w:ascii="Wingdings" w:hAnsi="Wingdings" w:hint="default"/>
      </w:rPr>
    </w:lvl>
    <w:lvl w:ilvl="1" w:tplc="040B0003">
      <w:start w:val="1"/>
      <w:numFmt w:val="bullet"/>
      <w:lvlText w:val="o"/>
      <w:lvlJc w:val="left"/>
      <w:pPr>
        <w:ind w:left="2288" w:hanging="360"/>
      </w:pPr>
      <w:rPr>
        <w:rFonts w:ascii="Courier New" w:hAnsi="Courier New" w:cs="Courier New" w:hint="default"/>
      </w:rPr>
    </w:lvl>
    <w:lvl w:ilvl="2" w:tplc="040B0005">
      <w:start w:val="1"/>
      <w:numFmt w:val="bullet"/>
      <w:lvlText w:val=""/>
      <w:lvlJc w:val="left"/>
      <w:pPr>
        <w:ind w:left="3008" w:hanging="360"/>
      </w:pPr>
      <w:rPr>
        <w:rFonts w:ascii="Wingdings" w:hAnsi="Wingdings" w:hint="default"/>
      </w:rPr>
    </w:lvl>
    <w:lvl w:ilvl="3" w:tplc="040B0001">
      <w:start w:val="1"/>
      <w:numFmt w:val="bullet"/>
      <w:lvlText w:val=""/>
      <w:lvlJc w:val="left"/>
      <w:pPr>
        <w:ind w:left="3728" w:hanging="360"/>
      </w:pPr>
      <w:rPr>
        <w:rFonts w:ascii="Symbol" w:hAnsi="Symbol" w:hint="default"/>
      </w:rPr>
    </w:lvl>
    <w:lvl w:ilvl="4" w:tplc="040B0003">
      <w:start w:val="1"/>
      <w:numFmt w:val="bullet"/>
      <w:lvlText w:val="o"/>
      <w:lvlJc w:val="left"/>
      <w:pPr>
        <w:ind w:left="4448" w:hanging="360"/>
      </w:pPr>
      <w:rPr>
        <w:rFonts w:ascii="Courier New" w:hAnsi="Courier New" w:cs="Courier New" w:hint="default"/>
      </w:rPr>
    </w:lvl>
    <w:lvl w:ilvl="5" w:tplc="040B0005">
      <w:start w:val="1"/>
      <w:numFmt w:val="bullet"/>
      <w:lvlText w:val=""/>
      <w:lvlJc w:val="left"/>
      <w:pPr>
        <w:ind w:left="5168" w:hanging="360"/>
      </w:pPr>
      <w:rPr>
        <w:rFonts w:ascii="Wingdings" w:hAnsi="Wingdings" w:hint="default"/>
      </w:rPr>
    </w:lvl>
    <w:lvl w:ilvl="6" w:tplc="040B0001">
      <w:start w:val="1"/>
      <w:numFmt w:val="bullet"/>
      <w:lvlText w:val=""/>
      <w:lvlJc w:val="left"/>
      <w:pPr>
        <w:ind w:left="5888" w:hanging="360"/>
      </w:pPr>
      <w:rPr>
        <w:rFonts w:ascii="Symbol" w:hAnsi="Symbol" w:hint="default"/>
      </w:rPr>
    </w:lvl>
    <w:lvl w:ilvl="7" w:tplc="040B0003">
      <w:start w:val="1"/>
      <w:numFmt w:val="bullet"/>
      <w:lvlText w:val="o"/>
      <w:lvlJc w:val="left"/>
      <w:pPr>
        <w:ind w:left="6608" w:hanging="360"/>
      </w:pPr>
      <w:rPr>
        <w:rFonts w:ascii="Courier New" w:hAnsi="Courier New" w:cs="Courier New" w:hint="default"/>
      </w:rPr>
    </w:lvl>
    <w:lvl w:ilvl="8" w:tplc="040B0005">
      <w:start w:val="1"/>
      <w:numFmt w:val="bullet"/>
      <w:lvlText w:val=""/>
      <w:lvlJc w:val="left"/>
      <w:pPr>
        <w:ind w:left="7328" w:hanging="360"/>
      </w:pPr>
      <w:rPr>
        <w:rFonts w:ascii="Wingdings" w:hAnsi="Wingdings" w:hint="default"/>
      </w:rPr>
    </w:lvl>
  </w:abstractNum>
  <w:abstractNum w:abstractNumId="12" w15:restartNumberingAfterBreak="0">
    <w:nsid w:val="6C402539"/>
    <w:multiLevelType w:val="hybridMultilevel"/>
    <w:tmpl w:val="8FDEA01C"/>
    <w:lvl w:ilvl="0" w:tplc="E2661B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288E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8C43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2469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F47A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6802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8267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CF0C5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0C5A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1"/>
  </w:num>
  <w:num w:numId="2">
    <w:abstractNumId w:val="11"/>
  </w:num>
  <w:num w:numId="3">
    <w:abstractNumId w:val="8"/>
  </w:num>
  <w:num w:numId="4">
    <w:abstractNumId w:val="0"/>
  </w:num>
  <w:num w:numId="5">
    <w:abstractNumId w:val="2"/>
  </w:num>
  <w:num w:numId="6">
    <w:abstractNumId w:val="1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4"/>
  </w:num>
  <w:num w:numId="12">
    <w:abstractNumId w:val="12"/>
  </w:num>
  <w:num w:numId="13">
    <w:abstractNumId w:val="5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tTQ2NLc0NLQwM7QwtTRS0lEKTi0uzszPAykwqQUASJxUBSwAAAA="/>
  </w:docVars>
  <w:rsids>
    <w:rsidRoot w:val="00EE3302"/>
    <w:rsid w:val="00037F87"/>
    <w:rsid w:val="000411C4"/>
    <w:rsid w:val="000815D8"/>
    <w:rsid w:val="000D765A"/>
    <w:rsid w:val="001A7F60"/>
    <w:rsid w:val="001D4D30"/>
    <w:rsid w:val="0020706E"/>
    <w:rsid w:val="00245A1D"/>
    <w:rsid w:val="00264B1A"/>
    <w:rsid w:val="00294D3C"/>
    <w:rsid w:val="002A4B62"/>
    <w:rsid w:val="00320187"/>
    <w:rsid w:val="00321E2C"/>
    <w:rsid w:val="003B0816"/>
    <w:rsid w:val="003F1BFC"/>
    <w:rsid w:val="003F3D27"/>
    <w:rsid w:val="004E3FF4"/>
    <w:rsid w:val="004F2822"/>
    <w:rsid w:val="004F5108"/>
    <w:rsid w:val="005A7509"/>
    <w:rsid w:val="0061630E"/>
    <w:rsid w:val="0062442A"/>
    <w:rsid w:val="006B0B10"/>
    <w:rsid w:val="007850E6"/>
    <w:rsid w:val="007C4249"/>
    <w:rsid w:val="00816809"/>
    <w:rsid w:val="008A5773"/>
    <w:rsid w:val="008F25E5"/>
    <w:rsid w:val="008F3823"/>
    <w:rsid w:val="00B1367C"/>
    <w:rsid w:val="00B9135E"/>
    <w:rsid w:val="00BA1F24"/>
    <w:rsid w:val="00C033CF"/>
    <w:rsid w:val="00C25249"/>
    <w:rsid w:val="00C45AA5"/>
    <w:rsid w:val="00C53DDD"/>
    <w:rsid w:val="00CA01FC"/>
    <w:rsid w:val="00DB0009"/>
    <w:rsid w:val="00DF33B0"/>
    <w:rsid w:val="00E45C01"/>
    <w:rsid w:val="00E73E84"/>
    <w:rsid w:val="00EE3302"/>
    <w:rsid w:val="00EF66DA"/>
    <w:rsid w:val="020F46F8"/>
    <w:rsid w:val="0546E7BA"/>
    <w:rsid w:val="2A792D99"/>
    <w:rsid w:val="2BB80D9E"/>
    <w:rsid w:val="31A6AF90"/>
    <w:rsid w:val="3A61BC69"/>
    <w:rsid w:val="61B67AA4"/>
    <w:rsid w:val="6232C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1A986F"/>
  <w15:chartTrackingRefBased/>
  <w15:docId w15:val="{EEEB8013-D9F0-4523-8500-D01420304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081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1630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330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GB" w:eastAsia="fi-FI"/>
    </w:rPr>
  </w:style>
  <w:style w:type="character" w:customStyle="1" w:styleId="Heading1Char">
    <w:name w:val="Heading 1 Char"/>
    <w:basedOn w:val="DefaultParagraphFont"/>
    <w:link w:val="Heading1"/>
    <w:uiPriority w:val="9"/>
    <w:rsid w:val="003B08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5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5E5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53DD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53DDD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61630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441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51010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779577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7902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30883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97293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77938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7878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15264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73147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465735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72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0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13698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47603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82716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844399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9333">
          <w:marLeft w:val="360"/>
          <w:marRight w:val="0"/>
          <w:marTop w:val="2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99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71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13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42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70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7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36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0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955431">
          <w:marLeft w:val="1080"/>
          <w:marRight w:val="0"/>
          <w:marTop w:val="1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65740">
          <w:marLeft w:val="1080"/>
          <w:marRight w:val="0"/>
          <w:marTop w:val="1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660912">
          <w:marLeft w:val="1080"/>
          <w:marRight w:val="0"/>
          <w:marTop w:val="1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738318">
          <w:marLeft w:val="1080"/>
          <w:marRight w:val="0"/>
          <w:marTop w:val="10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7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49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50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22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71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02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170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83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69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30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87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261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02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76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eg"/><Relationship Id="rId5" Type="http://schemas.openxmlformats.org/officeDocument/2006/relationships/numbering" Target="numbering.xml"/><Relationship Id="rId15" Type="http://schemas.openxmlformats.org/officeDocument/2006/relationships/image" Target="media/image7.png"/><Relationship Id="rId10" Type="http://schemas.openxmlformats.org/officeDocument/2006/relationships/image" Target="media/image2.emf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0BF32DF47193674AA7CFD67B270DEF4C" ma:contentTypeVersion="9" ma:contentTypeDescription="Luo uusi asiakirja." ma:contentTypeScope="" ma:versionID="abc60e8386567d413dbef561cafcc43b">
  <xsd:schema xmlns:xsd="http://www.w3.org/2001/XMLSchema" xmlns:xs="http://www.w3.org/2001/XMLSchema" xmlns:p="http://schemas.microsoft.com/office/2006/metadata/properties" xmlns:ns2="c146088e-6371-4717-a822-bd93284209b7" xmlns:ns3="1d556e10-0751-423e-aed1-6d8e7c0a3351" targetNamespace="http://schemas.microsoft.com/office/2006/metadata/properties" ma:root="true" ma:fieldsID="85935b9389c81fc58fb3e8b31b17b9db" ns2:_="" ns3:_="">
    <xsd:import namespace="c146088e-6371-4717-a822-bd93284209b7"/>
    <xsd:import namespace="1d556e10-0751-423e-aed1-6d8e7c0a33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46088e-6371-4717-a822-bd93284209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556e10-0751-423e-aed1-6d8e7c0a33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Jakamisen tiedot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B7ABB-7253-4968-85E0-03ADD62308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5F7D23-BAAC-42E3-A21B-02C227699C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59715E-1C86-479E-BD13-8700C9EC34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46088e-6371-4717-a822-bd93284209b7"/>
    <ds:schemaRef ds:uri="1d556e10-0751-423e-aed1-6d8e7c0a33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CE7838-5364-4C09-BE44-61105E3E3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Jaana Kullaslahti</dc:creator>
  <cp:keywords/>
  <dc:description/>
  <cp:lastModifiedBy>Wladimir Segercrantz</cp:lastModifiedBy>
  <cp:revision>2</cp:revision>
  <cp:lastPrinted>2021-03-04T08:12:00Z</cp:lastPrinted>
  <dcterms:created xsi:type="dcterms:W3CDTF">2021-10-22T06:27:00Z</dcterms:created>
  <dcterms:modified xsi:type="dcterms:W3CDTF">2021-10-22T06:27:00Z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0x0101000BF32DF47193674AA7CFD67B270DEF4C</vt:lpwstr>
  </property>
</Properties>
</file>